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09" w:rsidRPr="001F6309" w:rsidRDefault="001F6309" w:rsidP="001F63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F6309">
        <w:rPr>
          <w:b/>
        </w:rPr>
        <w:t>Castle Doctrine</w:t>
      </w:r>
    </w:p>
    <w:p w:rsidR="001F6309" w:rsidRDefault="001F6309" w:rsidP="001F6309">
      <w:pPr>
        <w:pStyle w:val="NoSpacing"/>
      </w:pPr>
    </w:p>
    <w:p w:rsidR="001F6309" w:rsidRDefault="001F6309" w:rsidP="001F6309">
      <w:pPr>
        <w:pStyle w:val="NoSpacing"/>
      </w:pPr>
      <w:r w:rsidRPr="001F6309">
        <w:t xml:space="preserve">On March 27, 2007, </w:t>
      </w:r>
      <w:r>
        <w:t>Gov.</w:t>
      </w:r>
      <w:r w:rsidRPr="001F6309">
        <w:t> </w:t>
      </w:r>
      <w:hyperlink r:id="rId4" w:tooltip="Rick Perry" w:history="1">
        <w:r w:rsidRPr="001F6309">
          <w:t>Rick Perry</w:t>
        </w:r>
      </w:hyperlink>
      <w:r w:rsidRPr="001F6309">
        <w:t xml:space="preserve"> signed Senate Bill 378 into law, making Texas a </w:t>
      </w:r>
      <w:hyperlink r:id="rId5" w:tooltip="Castle Doctrine in the US" w:history="1">
        <w:r w:rsidRPr="001F6309">
          <w:rPr>
            <w:b/>
            <w:i/>
          </w:rPr>
          <w:t>Castle Doctrine</w:t>
        </w:r>
      </w:hyperlink>
      <w:r w:rsidRPr="001F6309">
        <w:rPr>
          <w:b/>
          <w:i/>
        </w:rPr>
        <w:t xml:space="preserve"> </w:t>
      </w:r>
      <w:r w:rsidRPr="001F6309">
        <w:t xml:space="preserve">state which </w:t>
      </w:r>
      <w:r>
        <w:t>went</w:t>
      </w:r>
      <w:r w:rsidRPr="001F6309">
        <w:t xml:space="preserve"> into effect </w:t>
      </w:r>
      <w:r>
        <w:t>Sept.</w:t>
      </w:r>
      <w:r w:rsidRPr="001F6309">
        <w:t xml:space="preserve"> 1, 2007. Residents lawfully occupying a dwelling may use dea</w:t>
      </w:r>
      <w:r>
        <w:t xml:space="preserve">dly force against a person who </w:t>
      </w:r>
      <w:r w:rsidRPr="001F6309">
        <w:rPr>
          <w:i/>
        </w:rPr>
        <w:t>unlawfully, and with force, enters or attempts to enter the dwelling</w:t>
      </w:r>
      <w:r w:rsidRPr="001F6309">
        <w:t>, or who unlawfully and with force</w:t>
      </w:r>
      <w:r>
        <w:t>,</w:t>
      </w:r>
      <w:r w:rsidRPr="001F6309">
        <w:t xml:space="preserve"> removes or attempts to remove someone from that dwelling, or who commit</w:t>
      </w:r>
      <w:r>
        <w:t xml:space="preserve">s or attempts to commit a </w:t>
      </w:r>
      <w:r w:rsidRPr="001F6309">
        <w:rPr>
          <w:i/>
        </w:rPr>
        <w:t>qualifying</w:t>
      </w:r>
      <w:r>
        <w:t xml:space="preserve"> felony such as </w:t>
      </w:r>
      <w:r w:rsidRPr="001F6309">
        <w:rPr>
          <w:i/>
        </w:rPr>
        <w:t xml:space="preserve">aggravated kidnapping, murder, sexual assault, aggravated sexual assault, robbery, or aggravated robbery </w:t>
      </w:r>
      <w:r>
        <w:t>[TPC 9.32(b)]</w:t>
      </w:r>
      <w:r w:rsidRPr="001F6309">
        <w:t>.</w:t>
      </w:r>
    </w:p>
    <w:p w:rsidR="001F6309" w:rsidRPr="001F6309" w:rsidRDefault="001F6309" w:rsidP="001F6309">
      <w:pPr>
        <w:pStyle w:val="NoSpacing"/>
      </w:pPr>
    </w:p>
    <w:p w:rsidR="001F6309" w:rsidRPr="001F6309" w:rsidRDefault="001F6309" w:rsidP="001F6309">
      <w:pPr>
        <w:pStyle w:val="NoSpacing"/>
        <w:rPr>
          <w:b/>
          <w:i/>
        </w:rPr>
      </w:pPr>
      <w:r w:rsidRPr="001F6309">
        <w:rPr>
          <w:b/>
          <w:i/>
        </w:rPr>
        <w:t>Stand Your Ground</w:t>
      </w:r>
    </w:p>
    <w:p w:rsidR="001F6309" w:rsidRDefault="001F6309" w:rsidP="001F6309">
      <w:pPr>
        <w:pStyle w:val="NoSpacing"/>
      </w:pPr>
      <w:r w:rsidRPr="001F6309">
        <w:t>S</w:t>
      </w:r>
      <w:r>
        <w:t xml:space="preserve">enate Bill 378 also contains a </w:t>
      </w:r>
      <w:hyperlink r:id="rId6" w:tooltip="Stand-your-ground law" w:history="1">
        <w:r w:rsidRPr="001F6309">
          <w:rPr>
            <w:i/>
          </w:rPr>
          <w:t>Stand Your Ground</w:t>
        </w:r>
      </w:hyperlink>
      <w:r w:rsidRPr="001F6309">
        <w:t xml:space="preserve"> clause</w:t>
      </w:r>
      <w:r>
        <w:t xml:space="preserve">. </w:t>
      </w:r>
      <w:r w:rsidRPr="001F6309">
        <w:t xml:space="preserve">A person who has a legal right to be wherever he/she is at the time </w:t>
      </w:r>
      <w:r>
        <w:t xml:space="preserve">of a defensive shooting has no </w:t>
      </w:r>
      <w:r w:rsidRPr="001F6309">
        <w:rPr>
          <w:i/>
        </w:rPr>
        <w:t xml:space="preserve">duty to retreat </w:t>
      </w:r>
      <w:r w:rsidRPr="001F6309">
        <w:t>before be</w:t>
      </w:r>
      <w:r>
        <w:t xml:space="preserve">ing justified in shooting. The </w:t>
      </w:r>
      <w:r w:rsidRPr="001F6309">
        <w:rPr>
          <w:i/>
        </w:rPr>
        <w:t>trier of fact</w:t>
      </w:r>
      <w:r w:rsidRPr="001F6309">
        <w:t xml:space="preserve"> (the jury in a jury trial, otherwise the judge) may not consider whether the person retreated when deciding whether the p</w:t>
      </w:r>
      <w:r>
        <w:t>erson was justified in shooting.</w:t>
      </w:r>
    </w:p>
    <w:p w:rsidR="001F6309" w:rsidRDefault="001F6309" w:rsidP="001F6309">
      <w:pPr>
        <w:pStyle w:val="NoSpacing"/>
      </w:pPr>
      <w:r>
        <w:t>{TPC 9.32(</w:t>
      </w:r>
      <w:proofErr w:type="spellStart"/>
      <w:proofErr w:type="gramStart"/>
      <w:r>
        <w:t>c,d</w:t>
      </w:r>
      <w:proofErr w:type="spellEnd"/>
      <w:proofErr w:type="gramEnd"/>
      <w:r>
        <w:t>)].</w:t>
      </w:r>
    </w:p>
    <w:p w:rsidR="001F6309" w:rsidRPr="001F6309" w:rsidRDefault="001F6309" w:rsidP="001F6309">
      <w:pPr>
        <w:pStyle w:val="NoSpacing"/>
      </w:pPr>
    </w:p>
    <w:p w:rsidR="001F6309" w:rsidRPr="001F6309" w:rsidRDefault="001F6309" w:rsidP="001F6309">
      <w:pPr>
        <w:pStyle w:val="NoSpacing"/>
        <w:rPr>
          <w:b/>
          <w:i/>
        </w:rPr>
      </w:pPr>
      <w:r w:rsidRPr="001F6309">
        <w:rPr>
          <w:b/>
          <w:i/>
        </w:rPr>
        <w:t>Civil Immunity</w:t>
      </w:r>
    </w:p>
    <w:p w:rsidR="001F6309" w:rsidRDefault="001F6309" w:rsidP="001F6309">
      <w:pPr>
        <w:pStyle w:val="NoSpacing"/>
      </w:pPr>
      <w:r w:rsidRPr="001F6309">
        <w:t xml:space="preserve">In addition, two statutes of the Texas Civil Practice </w:t>
      </w:r>
      <w:r>
        <w:t>a</w:t>
      </w:r>
      <w:r w:rsidRPr="001F6309">
        <w:t xml:space="preserve">nd Remedies Code protect people who justifiably threaten or use deadly force. Chapter 86 prohibits a person convicted of a misdemeanor or felony from filing suit to recover any damages suffered </w:t>
      </w:r>
      <w:proofErr w:type="gramStart"/>
      <w:r w:rsidRPr="001F6309">
        <w:t>as a result of</w:t>
      </w:r>
      <w:proofErr w:type="gramEnd"/>
      <w:r w:rsidRPr="001F6309">
        <w:t xml:space="preserve"> the criminal act or any justifiable action taken by others to prevent the criminal act or to apprehend the person, including the firing of a weapon.</w:t>
      </w:r>
    </w:p>
    <w:p w:rsidR="001F6309" w:rsidRDefault="001F6309" w:rsidP="001F6309">
      <w:pPr>
        <w:pStyle w:val="NoSpacing"/>
      </w:pPr>
    </w:p>
    <w:p w:rsidR="001F6309" w:rsidRDefault="001F6309" w:rsidP="001F6309">
      <w:pPr>
        <w:pStyle w:val="NoSpacing"/>
      </w:pPr>
      <w:r w:rsidRPr="001F6309">
        <w:t>Chapter 83 of the same code states that a person who used force or deadly force against an individual that is justified under TPC Chapter 9 is immune from liability for personal injury or death of the individual against whom the force was used. This does not relieve a person from liability for use of force or deadly force on someone against whom the force would not be justified, such as a bystander hit by an errant shot.</w:t>
      </w:r>
    </w:p>
    <w:p w:rsidR="001F6309" w:rsidRPr="001F6309" w:rsidRDefault="001F6309" w:rsidP="001F6309">
      <w:pPr>
        <w:pStyle w:val="NoSpacing"/>
      </w:pPr>
    </w:p>
    <w:p w:rsidR="001F6309" w:rsidRPr="001F6309" w:rsidRDefault="001F6309" w:rsidP="001F6309">
      <w:pPr>
        <w:pStyle w:val="NoSpacing"/>
      </w:pPr>
      <w:r w:rsidRPr="001F6309">
        <w:t xml:space="preserve">This law does not prevent a person from being sued for using deadly force. The civil court will determine if the defendant was justified under </w:t>
      </w:r>
      <w:r>
        <w:t>C</w:t>
      </w:r>
      <w:r w:rsidRPr="001F6309">
        <w:t xml:space="preserve">hapter 9 of the </w:t>
      </w:r>
      <w:r>
        <w:t xml:space="preserve">Texas </w:t>
      </w:r>
      <w:bookmarkStart w:id="0" w:name="_GoBack"/>
      <w:bookmarkEnd w:id="0"/>
      <w:r w:rsidRPr="001F6309">
        <w:t>Penal Code.</w:t>
      </w:r>
    </w:p>
    <w:p w:rsidR="0041488D" w:rsidRPr="001F6309" w:rsidRDefault="001F6309" w:rsidP="001F6309">
      <w:pPr>
        <w:pStyle w:val="NoSpacing"/>
      </w:pPr>
    </w:p>
    <w:sectPr w:rsidR="0041488D" w:rsidRPr="001F6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09"/>
    <w:rsid w:val="001F6309"/>
    <w:rsid w:val="003051C9"/>
    <w:rsid w:val="003F3D47"/>
    <w:rsid w:val="00476367"/>
    <w:rsid w:val="004E412C"/>
    <w:rsid w:val="005461C5"/>
    <w:rsid w:val="005664CE"/>
    <w:rsid w:val="005F0468"/>
    <w:rsid w:val="00826318"/>
    <w:rsid w:val="00A61E6E"/>
    <w:rsid w:val="00E00F00"/>
    <w:rsid w:val="00E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A97C"/>
  <w15:chartTrackingRefBased/>
  <w15:docId w15:val="{6B8E8DED-06EC-41F7-B10B-49EFFDD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color w:val="595959" w:themeColor="text1" w:themeTint="A6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6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00F00"/>
    <w:pPr>
      <w:spacing w:after="0" w:line="240" w:lineRule="auto"/>
    </w:pPr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E00F0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customStyle="1" w:styleId="Heading2Char">
    <w:name w:val="Heading 2 Char"/>
    <w:basedOn w:val="DefaultParagraphFont"/>
    <w:link w:val="Heading2"/>
    <w:uiPriority w:val="9"/>
    <w:rsid w:val="001F6309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6309"/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customStyle="1" w:styleId="mw-headline">
    <w:name w:val="mw-headline"/>
    <w:basedOn w:val="DefaultParagraphFont"/>
    <w:rsid w:val="001F6309"/>
  </w:style>
  <w:style w:type="character" w:customStyle="1" w:styleId="mw-editsection">
    <w:name w:val="mw-editsection"/>
    <w:basedOn w:val="DefaultParagraphFont"/>
    <w:rsid w:val="001F6309"/>
  </w:style>
  <w:style w:type="character" w:customStyle="1" w:styleId="mw-editsection-bracket">
    <w:name w:val="mw-editsection-bracket"/>
    <w:basedOn w:val="DefaultParagraphFont"/>
    <w:rsid w:val="001F6309"/>
  </w:style>
  <w:style w:type="character" w:styleId="Hyperlink">
    <w:name w:val="Hyperlink"/>
    <w:basedOn w:val="DefaultParagraphFont"/>
    <w:uiPriority w:val="99"/>
    <w:semiHidden/>
    <w:unhideWhenUsed/>
    <w:rsid w:val="001F6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1F6309"/>
  </w:style>
  <w:style w:type="paragraph" w:styleId="NoSpacing">
    <w:name w:val="No Spacing"/>
    <w:uiPriority w:val="1"/>
    <w:qFormat/>
    <w:rsid w:val="001F6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tand-your-ground_law" TargetMode="External"/><Relationship Id="rId5" Type="http://schemas.openxmlformats.org/officeDocument/2006/relationships/hyperlink" Target="https://en.wikipedia.org/wiki/Castle_Doctrine_in_the_US" TargetMode="External"/><Relationship Id="rId4" Type="http://schemas.openxmlformats.org/officeDocument/2006/relationships/hyperlink" Target="https://en.wikipedia.org/wiki/Rick_P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Zielsdorf</dc:creator>
  <cp:keywords/>
  <dc:description/>
  <cp:lastModifiedBy>Bruce Zielsdorf</cp:lastModifiedBy>
  <cp:revision>1</cp:revision>
  <dcterms:created xsi:type="dcterms:W3CDTF">2017-06-17T21:25:00Z</dcterms:created>
  <dcterms:modified xsi:type="dcterms:W3CDTF">2017-06-17T21:32:00Z</dcterms:modified>
</cp:coreProperties>
</file>